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4DF49" w14:textId="77777777" w:rsidR="00DB666B" w:rsidRPr="00CE2E53" w:rsidRDefault="00DB666B" w:rsidP="00DB666B">
      <w:pPr>
        <w:spacing w:line="360" w:lineRule="auto"/>
        <w:outlineLvl w:val="0"/>
        <w:rPr>
          <w:rFonts w:ascii="Times New Roman" w:hAnsi="Times New Roman" w:cs="Times New Roman"/>
          <w:sz w:val="22"/>
          <w:szCs w:val="28"/>
        </w:rPr>
      </w:pPr>
      <w:bookmarkStart w:id="0" w:name="_GoBack"/>
      <w:bookmarkEnd w:id="0"/>
      <w:r w:rsidRPr="00CE2E53">
        <w:rPr>
          <w:rFonts w:ascii="Times New Roman" w:hAnsi="Times New Roman" w:cs="Times New Roman"/>
          <w:b/>
          <w:bCs/>
          <w:sz w:val="28"/>
          <w:szCs w:val="24"/>
        </w:rPr>
        <w:t>Appendix</w:t>
      </w:r>
    </w:p>
    <w:p w14:paraId="4C36D932" w14:textId="77777777" w:rsidR="00DB666B" w:rsidRPr="006B6F04" w:rsidRDefault="00DB666B" w:rsidP="00DB666B">
      <w:pPr>
        <w:spacing w:line="360" w:lineRule="auto"/>
        <w:jc w:val="center"/>
        <w:rPr>
          <w:rFonts w:ascii="Times New Roman" w:eastAsia="等线" w:hAnsi="Times New Roman" w:cs="Times New Roman"/>
          <w:b/>
          <w:sz w:val="24"/>
          <w:szCs w:val="28"/>
        </w:rPr>
      </w:pPr>
      <w:r w:rsidRPr="00CE2E53">
        <w:rPr>
          <w:rFonts w:ascii="Times New Roman" w:hAnsi="Times New Roman" w:cs="Times New Roman"/>
          <w:b/>
          <w:sz w:val="24"/>
          <w:szCs w:val="28"/>
        </w:rPr>
        <w:t>Tab. S1 Rarity of each rare disease and its prevalence</w:t>
      </w:r>
    </w:p>
    <w:tbl>
      <w:tblPr>
        <w:tblStyle w:val="TableGrid"/>
        <w:tblW w:w="9125" w:type="dxa"/>
        <w:tblLook w:val="04A0" w:firstRow="1" w:lastRow="0" w:firstColumn="1" w:lastColumn="0" w:noHBand="0" w:noVBand="1"/>
      </w:tblPr>
      <w:tblGrid>
        <w:gridCol w:w="436"/>
        <w:gridCol w:w="3193"/>
        <w:gridCol w:w="9"/>
        <w:gridCol w:w="1877"/>
        <w:gridCol w:w="10"/>
        <w:gridCol w:w="3592"/>
        <w:gridCol w:w="8"/>
      </w:tblGrid>
      <w:tr w:rsidR="00DB666B" w:rsidRPr="00A966FE" w14:paraId="79C3374F" w14:textId="77777777" w:rsidTr="00E35FA6">
        <w:trPr>
          <w:trHeight w:val="20"/>
        </w:trPr>
        <w:tc>
          <w:tcPr>
            <w:tcW w:w="3638" w:type="dxa"/>
            <w:gridSpan w:val="3"/>
            <w:noWrap/>
            <w:hideMark/>
          </w:tcPr>
          <w:p w14:paraId="6F373FBC" w14:textId="77777777" w:rsidR="00DB666B" w:rsidRPr="00A966FE" w:rsidRDefault="00DB666B" w:rsidP="00742367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  <w:r w:rsidRPr="00A966FE">
              <w:rPr>
                <w:rFonts w:ascii="Times New Roman" w:eastAsia="宋体" w:hAnsi="Times New Roman" w:cs="Times New Roman"/>
                <w:szCs w:val="21"/>
              </w:rPr>
              <w:t>Disease</w:t>
            </w:r>
          </w:p>
        </w:tc>
        <w:tc>
          <w:tcPr>
            <w:tcW w:w="1887" w:type="dxa"/>
            <w:gridSpan w:val="2"/>
            <w:noWrap/>
            <w:hideMark/>
          </w:tcPr>
          <w:p w14:paraId="3594F0B4" w14:textId="77777777" w:rsidR="00DB666B" w:rsidRPr="00A966FE" w:rsidRDefault="00DB666B" w:rsidP="00742367">
            <w:pPr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A966FE">
              <w:rPr>
                <w:rFonts w:ascii="Times New Roman" w:eastAsia="Times New Roman" w:hAnsi="Times New Roman" w:cs="Times New Roman"/>
                <w:szCs w:val="21"/>
              </w:rPr>
              <w:t>Prevalence</w:t>
            </w:r>
          </w:p>
        </w:tc>
        <w:tc>
          <w:tcPr>
            <w:tcW w:w="3600" w:type="dxa"/>
            <w:gridSpan w:val="2"/>
            <w:hideMark/>
          </w:tcPr>
          <w:p w14:paraId="2DE30854" w14:textId="77777777" w:rsidR="00DB666B" w:rsidRPr="00A966FE" w:rsidRDefault="00DB666B" w:rsidP="00742367">
            <w:pPr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A966FE">
              <w:rPr>
                <w:rFonts w:ascii="Times New Roman" w:eastAsia="Times New Roman" w:hAnsi="Times New Roman" w:cs="Times New Roman"/>
                <w:szCs w:val="21"/>
              </w:rPr>
              <w:t>Data source of Prevalence</w:t>
            </w:r>
          </w:p>
        </w:tc>
      </w:tr>
      <w:tr w:rsidR="00DB666B" w:rsidRPr="00A966FE" w14:paraId="6408B19D" w14:textId="77777777" w:rsidTr="00E35FA6">
        <w:trPr>
          <w:trHeight w:val="20"/>
        </w:trPr>
        <w:tc>
          <w:tcPr>
            <w:tcW w:w="9125" w:type="dxa"/>
            <w:gridSpan w:val="7"/>
            <w:shd w:val="clear" w:color="auto" w:fill="D9D9D9" w:themeFill="background1" w:themeFillShade="D9"/>
            <w:noWrap/>
          </w:tcPr>
          <w:p w14:paraId="512DC5C3" w14:textId="77777777" w:rsidR="00DB666B" w:rsidRPr="00A966FE" w:rsidRDefault="006B6F04" w:rsidP="00742367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  <w:r w:rsidRPr="00A966FE">
              <w:rPr>
                <w:rFonts w:ascii="Times New Roman" w:eastAsia="Times New Roman" w:hAnsi="Times New Roman" w:cs="Times New Roman"/>
                <w:szCs w:val="21"/>
              </w:rPr>
              <w:t>Rarity-Severe</w:t>
            </w:r>
            <w:r w:rsidR="00DB666B" w:rsidRPr="00A966FE">
              <w:rPr>
                <w:rFonts w:ascii="Times New Roman" w:eastAsia="Times New Roman" w:hAnsi="Times New Roman" w:cs="Times New Roman"/>
                <w:szCs w:val="21"/>
              </w:rPr>
              <w:t xml:space="preserve"> (Prevalence &lt; 1/100,000)</w:t>
            </w:r>
          </w:p>
        </w:tc>
      </w:tr>
      <w:tr w:rsidR="00E35FA6" w:rsidRPr="00A966FE" w14:paraId="5A1FE1B0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C92C3D4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656F7627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1q44 microdeletion syndrome</w:t>
            </w:r>
          </w:p>
        </w:tc>
        <w:tc>
          <w:tcPr>
            <w:tcW w:w="1886" w:type="dxa"/>
            <w:gridSpan w:val="2"/>
            <w:noWrap/>
            <w:hideMark/>
          </w:tcPr>
          <w:p w14:paraId="0014A3B8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&lt;1 /1,000,000</w:t>
            </w:r>
          </w:p>
        </w:tc>
        <w:tc>
          <w:tcPr>
            <w:tcW w:w="3602" w:type="dxa"/>
            <w:gridSpan w:val="2"/>
            <w:vAlign w:val="bottom"/>
          </w:tcPr>
          <w:p w14:paraId="32D96C63" w14:textId="77777777" w:rsidR="00E35FA6" w:rsidRPr="00A966FE" w:rsidRDefault="00E35FA6" w:rsidP="00E35FA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5A873F5F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4220E9B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799718D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Acute transverse myelitis</w:t>
            </w:r>
          </w:p>
        </w:tc>
        <w:tc>
          <w:tcPr>
            <w:tcW w:w="1886" w:type="dxa"/>
            <w:gridSpan w:val="2"/>
            <w:noWrap/>
            <w:hideMark/>
          </w:tcPr>
          <w:p w14:paraId="34A0C35A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1/1,000,000 ~ 1/250,000</w:t>
            </w:r>
          </w:p>
        </w:tc>
        <w:tc>
          <w:tcPr>
            <w:tcW w:w="3602" w:type="dxa"/>
            <w:gridSpan w:val="2"/>
            <w:vAlign w:val="bottom"/>
          </w:tcPr>
          <w:p w14:paraId="1673260B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32269B0E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1971561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6C1BD2FF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Alexander disease</w:t>
            </w:r>
          </w:p>
        </w:tc>
        <w:tc>
          <w:tcPr>
            <w:tcW w:w="1886" w:type="dxa"/>
            <w:gridSpan w:val="2"/>
            <w:noWrap/>
            <w:hideMark/>
          </w:tcPr>
          <w:p w14:paraId="027A79A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1/2,700,000</w:t>
            </w:r>
          </w:p>
        </w:tc>
        <w:tc>
          <w:tcPr>
            <w:tcW w:w="3602" w:type="dxa"/>
            <w:gridSpan w:val="2"/>
            <w:vAlign w:val="bottom"/>
          </w:tcPr>
          <w:p w14:paraId="2F999645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E5545DB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E17253B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28FC044E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 xml:space="preserve">Alpers 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Huttenlocher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 xml:space="preserve"> syndrome</w:t>
            </w:r>
          </w:p>
        </w:tc>
        <w:tc>
          <w:tcPr>
            <w:tcW w:w="1886" w:type="dxa"/>
            <w:gridSpan w:val="2"/>
            <w:noWrap/>
            <w:hideMark/>
          </w:tcPr>
          <w:p w14:paraId="673DDCD4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&lt;1 /1,000,000</w:t>
            </w:r>
          </w:p>
        </w:tc>
        <w:tc>
          <w:tcPr>
            <w:tcW w:w="3602" w:type="dxa"/>
            <w:gridSpan w:val="2"/>
            <w:vAlign w:val="bottom"/>
          </w:tcPr>
          <w:p w14:paraId="4B4DAF92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4802A385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865F040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69BE8D4E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Alstrom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 xml:space="preserve"> Syndrome </w:t>
            </w:r>
          </w:p>
        </w:tc>
        <w:tc>
          <w:tcPr>
            <w:tcW w:w="1886" w:type="dxa"/>
            <w:gridSpan w:val="2"/>
            <w:noWrap/>
            <w:hideMark/>
          </w:tcPr>
          <w:p w14:paraId="4E3FE32B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/1,000,000</w:t>
            </w:r>
          </w:p>
        </w:tc>
        <w:tc>
          <w:tcPr>
            <w:tcW w:w="3602" w:type="dxa"/>
            <w:gridSpan w:val="2"/>
            <w:vAlign w:val="bottom"/>
          </w:tcPr>
          <w:p w14:paraId="03FACFCD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10E6135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847FA10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6C50FBFF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 xml:space="preserve">atypical 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haemolytic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uraemic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syndrome,aHUS</w:t>
            </w:r>
            <w:proofErr w:type="spellEnd"/>
          </w:p>
        </w:tc>
        <w:tc>
          <w:tcPr>
            <w:tcW w:w="1886" w:type="dxa"/>
            <w:gridSpan w:val="2"/>
            <w:noWrap/>
            <w:hideMark/>
          </w:tcPr>
          <w:p w14:paraId="79E04AB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 1 000 000</w:t>
            </w:r>
          </w:p>
        </w:tc>
        <w:tc>
          <w:tcPr>
            <w:tcW w:w="3602" w:type="dxa"/>
            <w:gridSpan w:val="2"/>
            <w:vAlign w:val="bottom"/>
          </w:tcPr>
          <w:p w14:paraId="2C9F29AB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12965E05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FB41129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4A0322BE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Bartter syndrome</w:t>
            </w:r>
          </w:p>
        </w:tc>
        <w:tc>
          <w:tcPr>
            <w:tcW w:w="1886" w:type="dxa"/>
            <w:gridSpan w:val="2"/>
            <w:noWrap/>
            <w:hideMark/>
          </w:tcPr>
          <w:p w14:paraId="7558AC7C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1/1 000 000</w:t>
            </w:r>
          </w:p>
        </w:tc>
        <w:tc>
          <w:tcPr>
            <w:tcW w:w="3602" w:type="dxa"/>
            <w:gridSpan w:val="2"/>
            <w:vAlign w:val="bottom"/>
          </w:tcPr>
          <w:p w14:paraId="65DE0C9A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C2670D3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DA192C6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2A888F2C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Chediak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>-Higashi syndrome</w:t>
            </w:r>
          </w:p>
        </w:tc>
        <w:tc>
          <w:tcPr>
            <w:tcW w:w="1886" w:type="dxa"/>
            <w:gridSpan w:val="2"/>
            <w:noWrap/>
            <w:hideMark/>
          </w:tcPr>
          <w:p w14:paraId="53E94B4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500 cases reported</w:t>
            </w:r>
          </w:p>
        </w:tc>
        <w:tc>
          <w:tcPr>
            <w:tcW w:w="3602" w:type="dxa"/>
            <w:gridSpan w:val="2"/>
            <w:vAlign w:val="bottom"/>
          </w:tcPr>
          <w:p w14:paraId="37F9906D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E1D94A3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9C33693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0111A33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Erythrokeratoderma</w:t>
            </w:r>
            <w:proofErr w:type="spellEnd"/>
          </w:p>
        </w:tc>
        <w:tc>
          <w:tcPr>
            <w:tcW w:w="1886" w:type="dxa"/>
            <w:gridSpan w:val="2"/>
            <w:noWrap/>
            <w:hideMark/>
          </w:tcPr>
          <w:p w14:paraId="1CAF011F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200 cases reported</w:t>
            </w:r>
          </w:p>
        </w:tc>
        <w:tc>
          <w:tcPr>
            <w:tcW w:w="3602" w:type="dxa"/>
            <w:gridSpan w:val="2"/>
            <w:vAlign w:val="bottom"/>
          </w:tcPr>
          <w:p w14:paraId="00CAC614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6DB82EA3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FDC2F95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  <w:hideMark/>
          </w:tcPr>
          <w:p w14:paraId="4D1A463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 xml:space="preserve">GM1 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gangliosidosis</w:t>
            </w:r>
            <w:proofErr w:type="spellEnd"/>
          </w:p>
        </w:tc>
        <w:tc>
          <w:tcPr>
            <w:tcW w:w="1886" w:type="dxa"/>
            <w:gridSpan w:val="2"/>
            <w:noWrap/>
            <w:hideMark/>
          </w:tcPr>
          <w:p w14:paraId="040472B7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1/100,000-1/200,000 in live births</w:t>
            </w:r>
          </w:p>
        </w:tc>
        <w:tc>
          <w:tcPr>
            <w:tcW w:w="3602" w:type="dxa"/>
            <w:gridSpan w:val="2"/>
            <w:vAlign w:val="bottom"/>
          </w:tcPr>
          <w:p w14:paraId="39B19BF1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5D4A0671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DE204FF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2E6861F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Growth hormone deficiency</w:t>
            </w:r>
          </w:p>
        </w:tc>
        <w:tc>
          <w:tcPr>
            <w:tcW w:w="1886" w:type="dxa"/>
            <w:gridSpan w:val="2"/>
            <w:noWrap/>
          </w:tcPr>
          <w:p w14:paraId="10B44B2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/1,000,000</w:t>
            </w:r>
          </w:p>
        </w:tc>
        <w:tc>
          <w:tcPr>
            <w:tcW w:w="3602" w:type="dxa"/>
            <w:gridSpan w:val="2"/>
            <w:vAlign w:val="bottom"/>
          </w:tcPr>
          <w:p w14:paraId="6FB3BC41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Stanley T. (2012). Diagnosis of growth hormone deficiency in childhood. Current opinion in endocrinology, diabetes, and obesity, 19(1), 47–52. doi:10.1097/MED.0b013e32834ec952</w:t>
            </w:r>
          </w:p>
        </w:tc>
      </w:tr>
      <w:tr w:rsidR="00E35FA6" w:rsidRPr="00A966FE" w14:paraId="06FF473A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BE60E90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3C9B1A2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Jacobsen Syndrome</w:t>
            </w:r>
          </w:p>
        </w:tc>
        <w:tc>
          <w:tcPr>
            <w:tcW w:w="1886" w:type="dxa"/>
            <w:gridSpan w:val="2"/>
            <w:noWrap/>
          </w:tcPr>
          <w:p w14:paraId="2BB06F7E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200 cases reported</w:t>
            </w:r>
          </w:p>
        </w:tc>
        <w:tc>
          <w:tcPr>
            <w:tcW w:w="3602" w:type="dxa"/>
            <w:gridSpan w:val="2"/>
            <w:vAlign w:val="bottom"/>
          </w:tcPr>
          <w:p w14:paraId="2AB1EDDF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1C3B0215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A5C2CED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D344410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Lymphangioleio-myomatosis</w:t>
            </w:r>
            <w:proofErr w:type="spellEnd"/>
          </w:p>
        </w:tc>
        <w:tc>
          <w:tcPr>
            <w:tcW w:w="1886" w:type="dxa"/>
            <w:gridSpan w:val="2"/>
            <w:noWrap/>
          </w:tcPr>
          <w:p w14:paraId="2923C3A0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/1,000,000</w:t>
            </w:r>
          </w:p>
        </w:tc>
        <w:tc>
          <w:tcPr>
            <w:tcW w:w="3602" w:type="dxa"/>
            <w:gridSpan w:val="2"/>
            <w:vAlign w:val="bottom"/>
          </w:tcPr>
          <w:p w14:paraId="5C14923C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253B765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ECBA3E4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55B2784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Massive osteolysis/Gorham-Stout disease</w:t>
            </w:r>
          </w:p>
        </w:tc>
        <w:tc>
          <w:tcPr>
            <w:tcW w:w="1886" w:type="dxa"/>
            <w:gridSpan w:val="2"/>
            <w:noWrap/>
          </w:tcPr>
          <w:p w14:paraId="1507A396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300 cases reported</w:t>
            </w:r>
          </w:p>
        </w:tc>
        <w:tc>
          <w:tcPr>
            <w:tcW w:w="3602" w:type="dxa"/>
            <w:gridSpan w:val="2"/>
            <w:vAlign w:val="bottom"/>
          </w:tcPr>
          <w:p w14:paraId="611B608C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2731BBC2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0AF840C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86978A2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Metachromatic leukodystrophy</w:t>
            </w:r>
          </w:p>
        </w:tc>
        <w:tc>
          <w:tcPr>
            <w:tcW w:w="1886" w:type="dxa"/>
            <w:gridSpan w:val="2"/>
            <w:noWrap/>
          </w:tcPr>
          <w:p w14:paraId="4145A223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/1,000,000</w:t>
            </w:r>
          </w:p>
        </w:tc>
        <w:tc>
          <w:tcPr>
            <w:tcW w:w="3602" w:type="dxa"/>
            <w:gridSpan w:val="2"/>
            <w:vAlign w:val="bottom"/>
          </w:tcPr>
          <w:p w14:paraId="2769F6E7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28B8A113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9FCD206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3121423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Mitochondrial encephalopathy</w:t>
            </w:r>
          </w:p>
        </w:tc>
        <w:tc>
          <w:tcPr>
            <w:tcW w:w="1886" w:type="dxa"/>
            <w:gridSpan w:val="2"/>
            <w:noWrap/>
          </w:tcPr>
          <w:p w14:paraId="579B4207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 1,000,000</w:t>
            </w:r>
          </w:p>
        </w:tc>
        <w:tc>
          <w:tcPr>
            <w:tcW w:w="3602" w:type="dxa"/>
            <w:gridSpan w:val="2"/>
            <w:vAlign w:val="bottom"/>
          </w:tcPr>
          <w:p w14:paraId="7A40F309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3B324FA5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E0812AB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6C10FE0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Niemann-Pick disease</w:t>
            </w:r>
          </w:p>
        </w:tc>
        <w:tc>
          <w:tcPr>
            <w:tcW w:w="1886" w:type="dxa"/>
            <w:gridSpan w:val="2"/>
            <w:noWrap/>
          </w:tcPr>
          <w:p w14:paraId="578AD17A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&lt;1 /1,000,000</w:t>
            </w:r>
          </w:p>
        </w:tc>
        <w:tc>
          <w:tcPr>
            <w:tcW w:w="3602" w:type="dxa"/>
            <w:gridSpan w:val="2"/>
            <w:vAlign w:val="bottom"/>
          </w:tcPr>
          <w:p w14:paraId="03930BA4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4FE8BFD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4264835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BACD5E0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Peutz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>–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Jeghers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 xml:space="preserve"> syndrome</w:t>
            </w:r>
          </w:p>
        </w:tc>
        <w:tc>
          <w:tcPr>
            <w:tcW w:w="1886" w:type="dxa"/>
            <w:gridSpan w:val="2"/>
            <w:noWrap/>
          </w:tcPr>
          <w:p w14:paraId="5095A3D4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1-9 /1,000,000</w:t>
            </w:r>
          </w:p>
        </w:tc>
        <w:tc>
          <w:tcPr>
            <w:tcW w:w="3602" w:type="dxa"/>
            <w:gridSpan w:val="2"/>
            <w:vAlign w:val="bottom"/>
          </w:tcPr>
          <w:p w14:paraId="17BAD15D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140A2192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44D5362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584B4CA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 xml:space="preserve">Progressive 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diaphysial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 xml:space="preserve"> dysplasia/</w:t>
            </w:r>
            <w:proofErr w:type="spellStart"/>
            <w:r w:rsidRPr="00A966FE">
              <w:rPr>
                <w:rFonts w:ascii="Times New Roman" w:hAnsi="Times New Roman" w:cs="Times New Roman"/>
                <w:szCs w:val="21"/>
              </w:rPr>
              <w:t>Camurati</w:t>
            </w:r>
            <w:proofErr w:type="spellEnd"/>
            <w:r w:rsidRPr="00A966FE">
              <w:rPr>
                <w:rFonts w:ascii="Times New Roman" w:hAnsi="Times New Roman" w:cs="Times New Roman"/>
                <w:szCs w:val="21"/>
              </w:rPr>
              <w:t>-Engelmann disease</w:t>
            </w:r>
          </w:p>
        </w:tc>
        <w:tc>
          <w:tcPr>
            <w:tcW w:w="1886" w:type="dxa"/>
            <w:gridSpan w:val="2"/>
            <w:noWrap/>
          </w:tcPr>
          <w:p w14:paraId="4F186939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300 cases reported</w:t>
            </w:r>
          </w:p>
        </w:tc>
        <w:tc>
          <w:tcPr>
            <w:tcW w:w="3602" w:type="dxa"/>
            <w:gridSpan w:val="2"/>
            <w:vAlign w:val="bottom"/>
          </w:tcPr>
          <w:p w14:paraId="76898040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73F6B272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3B69D80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FC531EE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Spondyloepiphyseal Dysplasia Congenita</w:t>
            </w:r>
          </w:p>
        </w:tc>
        <w:tc>
          <w:tcPr>
            <w:tcW w:w="1886" w:type="dxa"/>
            <w:gridSpan w:val="2"/>
            <w:noWrap/>
          </w:tcPr>
          <w:p w14:paraId="7B197004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1 per 100,000 live births</w:t>
            </w:r>
          </w:p>
        </w:tc>
        <w:tc>
          <w:tcPr>
            <w:tcW w:w="3602" w:type="dxa"/>
            <w:gridSpan w:val="2"/>
            <w:vAlign w:val="bottom"/>
          </w:tcPr>
          <w:p w14:paraId="19EB53B3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E35FA6" w:rsidRPr="00A966FE" w14:paraId="39309142" w14:textId="77777777" w:rsidTr="00E35FA6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A28B700" w14:textId="77777777" w:rsidR="00E35FA6" w:rsidRPr="00A966FE" w:rsidRDefault="00E35FA6" w:rsidP="00E35FA6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70150F1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Triple-A syndrome (Allgrove syndrome)</w:t>
            </w:r>
          </w:p>
        </w:tc>
        <w:tc>
          <w:tcPr>
            <w:tcW w:w="1886" w:type="dxa"/>
            <w:gridSpan w:val="2"/>
            <w:noWrap/>
          </w:tcPr>
          <w:p w14:paraId="388B1481" w14:textId="77777777" w:rsidR="00E35FA6" w:rsidRPr="00A966FE" w:rsidRDefault="00E35FA6" w:rsidP="00E35FA6">
            <w:pPr>
              <w:rPr>
                <w:rFonts w:ascii="Times New Roman" w:hAnsi="Times New Roman" w:cs="Times New Roman"/>
                <w:szCs w:val="21"/>
              </w:rPr>
            </w:pPr>
            <w:r w:rsidRPr="00A966FE">
              <w:rPr>
                <w:rFonts w:ascii="Times New Roman" w:hAnsi="Times New Roman" w:cs="Times New Roman"/>
                <w:szCs w:val="21"/>
              </w:rPr>
              <w:t>&lt;1 /1,000,000</w:t>
            </w:r>
          </w:p>
        </w:tc>
        <w:tc>
          <w:tcPr>
            <w:tcW w:w="3602" w:type="dxa"/>
            <w:gridSpan w:val="2"/>
            <w:vAlign w:val="bottom"/>
          </w:tcPr>
          <w:p w14:paraId="4A9E625E" w14:textId="77777777" w:rsidR="00E35FA6" w:rsidRPr="00A966FE" w:rsidRDefault="00E35FA6" w:rsidP="00E35FA6">
            <w:pPr>
              <w:rPr>
                <w:rFonts w:ascii="Times New Roman" w:eastAsia="等线" w:hAnsi="Times New Roman" w:cs="Times New Roman"/>
                <w:szCs w:val="21"/>
              </w:rPr>
            </w:pPr>
            <w:r w:rsidRPr="00A966FE">
              <w:rPr>
                <w:rFonts w:ascii="Times New Roman" w:eastAsia="等线" w:hAnsi="Times New Roman" w:cs="Times New Roman"/>
                <w:szCs w:val="21"/>
              </w:rPr>
              <w:t>orpha.net</w:t>
            </w:r>
          </w:p>
        </w:tc>
      </w:tr>
      <w:tr w:rsidR="00DB666B" w:rsidRPr="00A966FE" w14:paraId="4041CCEA" w14:textId="77777777" w:rsidTr="00E35FA6">
        <w:trPr>
          <w:trHeight w:val="20"/>
        </w:trPr>
        <w:tc>
          <w:tcPr>
            <w:tcW w:w="9125" w:type="dxa"/>
            <w:gridSpan w:val="7"/>
            <w:shd w:val="clear" w:color="auto" w:fill="D9D9D9" w:themeFill="background1" w:themeFillShade="D9"/>
            <w:noWrap/>
          </w:tcPr>
          <w:p w14:paraId="1741540A" w14:textId="77777777" w:rsidR="00DB666B" w:rsidRPr="00A966FE" w:rsidRDefault="006B6F04" w:rsidP="00742367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  <w:r w:rsidRPr="00A966FE">
              <w:rPr>
                <w:rFonts w:ascii="Times New Roman" w:eastAsia="Times New Roman" w:hAnsi="Times New Roman" w:cs="Times New Roman"/>
                <w:szCs w:val="21"/>
              </w:rPr>
              <w:t>Rarity- Moderate</w:t>
            </w:r>
            <w:r w:rsidR="00DB666B" w:rsidRPr="00A966FE">
              <w:rPr>
                <w:rFonts w:ascii="Times New Roman" w:eastAsia="Times New Roman" w:hAnsi="Times New Roman" w:cs="Times New Roman"/>
                <w:szCs w:val="21"/>
              </w:rPr>
              <w:t xml:space="preserve"> (1/10,000&lt;Prevalence &lt; 1/100,000)</w:t>
            </w:r>
          </w:p>
        </w:tc>
      </w:tr>
      <w:tr w:rsidR="00A966FE" w:rsidRPr="00A966FE" w14:paraId="79F117B3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75EF93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18B5C0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Achondroplasia</w:t>
            </w:r>
          </w:p>
        </w:tc>
        <w:tc>
          <w:tcPr>
            <w:tcW w:w="1886" w:type="dxa"/>
            <w:gridSpan w:val="2"/>
            <w:noWrap/>
          </w:tcPr>
          <w:p w14:paraId="6A56DA2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20FBE0F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465261B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12716E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3A7675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Achromatopsia</w:t>
            </w:r>
          </w:p>
        </w:tc>
        <w:tc>
          <w:tcPr>
            <w:tcW w:w="1886" w:type="dxa"/>
            <w:gridSpan w:val="2"/>
            <w:noWrap/>
          </w:tcPr>
          <w:p w14:paraId="0833C43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4FACBB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2D7687A2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773CDBA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0A80BF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Acromegaly</w:t>
            </w:r>
          </w:p>
        </w:tc>
        <w:tc>
          <w:tcPr>
            <w:tcW w:w="1886" w:type="dxa"/>
            <w:gridSpan w:val="2"/>
            <w:noWrap/>
          </w:tcPr>
          <w:p w14:paraId="59E01A2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0558746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DB3923F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73E2120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589A93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Adrenal Hypoplasia Congenita</w:t>
            </w:r>
          </w:p>
        </w:tc>
        <w:tc>
          <w:tcPr>
            <w:tcW w:w="1886" w:type="dxa"/>
            <w:gridSpan w:val="2"/>
            <w:noWrap/>
          </w:tcPr>
          <w:p w14:paraId="6D2D354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less than 1/12,500 births</w:t>
            </w:r>
          </w:p>
        </w:tc>
        <w:tc>
          <w:tcPr>
            <w:tcW w:w="3602" w:type="dxa"/>
            <w:gridSpan w:val="2"/>
          </w:tcPr>
          <w:p w14:paraId="7A61317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AvRuskin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T., Krishnan, N., &amp; Juan, C. (2004). Congenital Adrenal Hypoplasia and Male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Pseudohermaphroditism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Due to DAX1 Mutation, SF1 Mutation or Neither: A Patient Report. Journal of Pediatric Endocrinology and Metabolism, 17(8), 1125-1132.</w:t>
            </w:r>
          </w:p>
        </w:tc>
      </w:tr>
      <w:tr w:rsidR="00A966FE" w:rsidRPr="00A966FE" w14:paraId="2052D74F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CFE6A0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735909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Albinism</w:t>
            </w:r>
          </w:p>
        </w:tc>
        <w:tc>
          <w:tcPr>
            <w:tcW w:w="1886" w:type="dxa"/>
            <w:gridSpan w:val="2"/>
            <w:noWrap/>
          </w:tcPr>
          <w:p w14:paraId="5CF8BDC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1/10,000-1/20,000</w:t>
            </w:r>
          </w:p>
        </w:tc>
        <w:tc>
          <w:tcPr>
            <w:tcW w:w="3602" w:type="dxa"/>
            <w:gridSpan w:val="2"/>
          </w:tcPr>
          <w:p w14:paraId="4D9676A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Mártinez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‐García, M. and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Montoliu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L. (2013), Albinism in Europe. J 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Dermatol, 40: 319-324. doi:10.1111/1346-8138.12170</w:t>
            </w:r>
          </w:p>
        </w:tc>
      </w:tr>
      <w:tr w:rsidR="00A966FE" w:rsidRPr="00A966FE" w14:paraId="28724D8A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51AC818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F7B04C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Amyotrophic lateral sclerosis</w:t>
            </w:r>
          </w:p>
        </w:tc>
        <w:tc>
          <w:tcPr>
            <w:tcW w:w="1886" w:type="dxa"/>
            <w:gridSpan w:val="2"/>
            <w:noWrap/>
          </w:tcPr>
          <w:p w14:paraId="7D72374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21BE9BF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4C96F00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41575CF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655556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Angelman syndrome</w:t>
            </w:r>
          </w:p>
        </w:tc>
        <w:tc>
          <w:tcPr>
            <w:tcW w:w="1886" w:type="dxa"/>
            <w:gridSpan w:val="2"/>
            <w:noWrap/>
          </w:tcPr>
          <w:p w14:paraId="12BA03A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052B9A4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A49DD83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EB4467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50019A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Anti-neutrophil cytoplasmic antibody-associated vasculitis</w:t>
            </w:r>
          </w:p>
        </w:tc>
        <w:tc>
          <w:tcPr>
            <w:tcW w:w="1886" w:type="dxa"/>
            <w:gridSpan w:val="2"/>
            <w:noWrap/>
          </w:tcPr>
          <w:p w14:paraId="3FE3D33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4.6-18.4/100,000</w:t>
            </w:r>
          </w:p>
        </w:tc>
        <w:tc>
          <w:tcPr>
            <w:tcW w:w="3602" w:type="dxa"/>
            <w:gridSpan w:val="2"/>
          </w:tcPr>
          <w:p w14:paraId="222B82E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Watts, R.,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Mahr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A., Mohammad, A.,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Gatenby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P.,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Basu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N., &amp; Flores-Suárez, L. (2015). Classification, epidemiology and clinical subgrouping of antineutrophil cytoplasmic antibody (ANCA)-associated vasculitis. Nephrology Dialysis Transplantation, 30(Suppl1), I14-I22.</w:t>
            </w:r>
          </w:p>
        </w:tc>
      </w:tr>
      <w:tr w:rsidR="00A966FE" w:rsidRPr="00A966FE" w14:paraId="6423A969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EC3E59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C4CE87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Behcet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disease</w:t>
            </w:r>
          </w:p>
        </w:tc>
        <w:tc>
          <w:tcPr>
            <w:tcW w:w="1886" w:type="dxa"/>
            <w:gridSpan w:val="2"/>
            <w:noWrap/>
          </w:tcPr>
          <w:p w14:paraId="6D7FFA9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1-9/100,000</w:t>
            </w:r>
          </w:p>
        </w:tc>
        <w:tc>
          <w:tcPr>
            <w:tcW w:w="3602" w:type="dxa"/>
            <w:gridSpan w:val="2"/>
          </w:tcPr>
          <w:p w14:paraId="61BE7F3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2B816354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7271D13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2934C6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Cerebral palsy</w:t>
            </w:r>
          </w:p>
        </w:tc>
        <w:tc>
          <w:tcPr>
            <w:tcW w:w="1886" w:type="dxa"/>
            <w:gridSpan w:val="2"/>
            <w:noWrap/>
          </w:tcPr>
          <w:p w14:paraId="27E5DCF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1.5-4/1000 in live births</w:t>
            </w:r>
          </w:p>
        </w:tc>
        <w:tc>
          <w:tcPr>
            <w:tcW w:w="3602" w:type="dxa"/>
            <w:gridSpan w:val="2"/>
          </w:tcPr>
          <w:p w14:paraId="385B8EC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Stavsky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M.,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Mor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O.,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Mastrolia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S., Greenbaum, S., </w:t>
            </w:r>
            <w:proofErr w:type="gram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Than</w:t>
            </w:r>
            <w:proofErr w:type="gram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N., &amp;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Erez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O. (2017). Cerebral Palsy-Trends in Epidemiology and Recent Development in Prenatal Mechanisms of Disease, Treatment, and Prevention. Frontiers in Pediatrics, 5, 21.</w:t>
            </w:r>
          </w:p>
        </w:tc>
      </w:tr>
      <w:tr w:rsidR="00A966FE" w:rsidRPr="00A966FE" w14:paraId="6EA8EE2F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DCC4ABC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15BD12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Citrullinemia</w:t>
            </w:r>
          </w:p>
        </w:tc>
        <w:tc>
          <w:tcPr>
            <w:tcW w:w="1886" w:type="dxa"/>
            <w:gridSpan w:val="2"/>
            <w:noWrap/>
          </w:tcPr>
          <w:p w14:paraId="7A72E01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/100,000</w:t>
            </w:r>
          </w:p>
        </w:tc>
        <w:tc>
          <w:tcPr>
            <w:tcW w:w="3602" w:type="dxa"/>
            <w:gridSpan w:val="2"/>
          </w:tcPr>
          <w:p w14:paraId="240BAAE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5DDDCB8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1C661BB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2A0291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Congenital Adrenal Hyperplasia</w:t>
            </w:r>
          </w:p>
        </w:tc>
        <w:tc>
          <w:tcPr>
            <w:tcW w:w="1886" w:type="dxa"/>
            <w:gridSpan w:val="2"/>
            <w:noWrap/>
          </w:tcPr>
          <w:p w14:paraId="2554146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259F286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535D23CA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B696EDD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6CEDCF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Cri-du-chat syndrome</w:t>
            </w:r>
          </w:p>
        </w:tc>
        <w:tc>
          <w:tcPr>
            <w:tcW w:w="1886" w:type="dxa"/>
            <w:gridSpan w:val="2"/>
            <w:noWrap/>
          </w:tcPr>
          <w:p w14:paraId="28FFD0E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1/20 000-1/50 000 newborns</w:t>
            </w:r>
          </w:p>
        </w:tc>
        <w:tc>
          <w:tcPr>
            <w:tcW w:w="3602" w:type="dxa"/>
            <w:gridSpan w:val="2"/>
          </w:tcPr>
          <w:p w14:paraId="78FE6B0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3C0CE38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732EF6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816EEE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Crohn's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diseas</w:t>
            </w:r>
            <w:proofErr w:type="spellEnd"/>
          </w:p>
        </w:tc>
        <w:tc>
          <w:tcPr>
            <w:tcW w:w="1886" w:type="dxa"/>
            <w:gridSpan w:val="2"/>
            <w:noWrap/>
          </w:tcPr>
          <w:p w14:paraId="62D8CFE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1.2-21.2/100,000</w:t>
            </w:r>
          </w:p>
        </w:tc>
        <w:tc>
          <w:tcPr>
            <w:tcW w:w="3602" w:type="dxa"/>
            <w:gridSpan w:val="2"/>
          </w:tcPr>
          <w:p w14:paraId="32AC36D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Prideaux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L.,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Kamm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M. A., De Cruz, P. P., Chan, F. K., &amp; Ng, S. C. (2012). Inflammatory bowel disease in Asia: a systematic review. Journal of gastroenterology and hepatology, 27(8), 1266-1280.</w:t>
            </w:r>
          </w:p>
        </w:tc>
      </w:tr>
      <w:tr w:rsidR="00A966FE" w:rsidRPr="00A966FE" w14:paraId="71D2263E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6B3F45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0B177B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De Lange syndrome</w:t>
            </w:r>
          </w:p>
        </w:tc>
        <w:tc>
          <w:tcPr>
            <w:tcW w:w="1886" w:type="dxa"/>
            <w:gridSpan w:val="2"/>
            <w:noWrap/>
          </w:tcPr>
          <w:p w14:paraId="534A4D3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6482325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33B2F1C8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6121548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EC72F4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Duchenne Muscular Dystrophy</w:t>
            </w:r>
          </w:p>
        </w:tc>
        <w:tc>
          <w:tcPr>
            <w:tcW w:w="1886" w:type="dxa"/>
            <w:gridSpan w:val="2"/>
            <w:noWrap/>
          </w:tcPr>
          <w:p w14:paraId="5A6D21D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27B707C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2FFEFF6D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2F242DF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2FC4E3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Eisenmenger's syndrome</w:t>
            </w:r>
          </w:p>
        </w:tc>
        <w:tc>
          <w:tcPr>
            <w:tcW w:w="1886" w:type="dxa"/>
            <w:gridSpan w:val="2"/>
            <w:noWrap/>
          </w:tcPr>
          <w:p w14:paraId="3451485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1 000 000</w:t>
            </w:r>
          </w:p>
        </w:tc>
        <w:tc>
          <w:tcPr>
            <w:tcW w:w="3602" w:type="dxa"/>
            <w:gridSpan w:val="2"/>
          </w:tcPr>
          <w:p w14:paraId="2D51A3A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35E9FFD3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499CB5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B19D0A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Epidermolysis bullosa</w:t>
            </w:r>
          </w:p>
        </w:tc>
        <w:tc>
          <w:tcPr>
            <w:tcW w:w="1886" w:type="dxa"/>
            <w:gridSpan w:val="2"/>
            <w:noWrap/>
          </w:tcPr>
          <w:p w14:paraId="28662B3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/1,000,000</w:t>
            </w:r>
          </w:p>
        </w:tc>
        <w:tc>
          <w:tcPr>
            <w:tcW w:w="3602" w:type="dxa"/>
            <w:gridSpan w:val="2"/>
          </w:tcPr>
          <w:p w14:paraId="729414A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263B708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D080682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7EEA6A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Fabry disease</w:t>
            </w:r>
          </w:p>
        </w:tc>
        <w:tc>
          <w:tcPr>
            <w:tcW w:w="1886" w:type="dxa"/>
            <w:gridSpan w:val="2"/>
            <w:noWrap/>
          </w:tcPr>
          <w:p w14:paraId="497C579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 / 100,000</w:t>
            </w:r>
          </w:p>
        </w:tc>
        <w:tc>
          <w:tcPr>
            <w:tcW w:w="3602" w:type="dxa"/>
            <w:gridSpan w:val="2"/>
          </w:tcPr>
          <w:p w14:paraId="42383C0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Branton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M. H.,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Schiffmann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R.,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Sabnis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etc. (2002). Natural history of Fabry renal disease: influence of α-galactosidase A activity and genetic mutations on clinical course. Medicine, 81(2), 122-138.</w:t>
            </w:r>
          </w:p>
        </w:tc>
      </w:tr>
      <w:tr w:rsidR="00A966FE" w:rsidRPr="00A966FE" w14:paraId="3279425E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671634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6F99B0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Gaucher disease</w:t>
            </w:r>
          </w:p>
        </w:tc>
        <w:tc>
          <w:tcPr>
            <w:tcW w:w="1886" w:type="dxa"/>
            <w:gridSpan w:val="2"/>
            <w:noWrap/>
          </w:tcPr>
          <w:p w14:paraId="30BDCB1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7C24FFE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577413F4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0F3CBB7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3DB14D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Glycogen storage disease due to acid maltase deficiency</w:t>
            </w:r>
          </w:p>
        </w:tc>
        <w:tc>
          <w:tcPr>
            <w:tcW w:w="1886" w:type="dxa"/>
            <w:gridSpan w:val="2"/>
            <w:noWrap/>
          </w:tcPr>
          <w:p w14:paraId="16BAF1D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1CDCA35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80576FF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B2E6A6F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EB5E24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Glycogen storage disease II</w:t>
            </w:r>
          </w:p>
        </w:tc>
        <w:tc>
          <w:tcPr>
            <w:tcW w:w="1886" w:type="dxa"/>
            <w:gridSpan w:val="2"/>
            <w:noWrap/>
          </w:tcPr>
          <w:p w14:paraId="02B7130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4623E8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B716655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4B2D6B9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BE458F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Granulomatosis with Polyangiitis</w:t>
            </w:r>
          </w:p>
        </w:tc>
        <w:tc>
          <w:tcPr>
            <w:tcW w:w="1886" w:type="dxa"/>
            <w:gridSpan w:val="2"/>
            <w:noWrap/>
          </w:tcPr>
          <w:p w14:paraId="3236BD5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7909E3B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31E8B248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86F7AC3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7C540F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Hemolytic anemia due to red cell pyruvate kinase deficiency</w:t>
            </w:r>
          </w:p>
        </w:tc>
        <w:tc>
          <w:tcPr>
            <w:tcW w:w="1886" w:type="dxa"/>
            <w:gridSpan w:val="2"/>
            <w:noWrap/>
          </w:tcPr>
          <w:p w14:paraId="3559169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35C3C1A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B87B85E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70C37B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AC347B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Hemophilia</w:t>
            </w:r>
          </w:p>
        </w:tc>
        <w:tc>
          <w:tcPr>
            <w:tcW w:w="1886" w:type="dxa"/>
            <w:gridSpan w:val="2"/>
            <w:noWrap/>
          </w:tcPr>
          <w:p w14:paraId="70A3338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3FFDED5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A5425A8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0B8AEBC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814522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Hepatolenticular degeneration/Wilson disease</w:t>
            </w:r>
          </w:p>
        </w:tc>
        <w:tc>
          <w:tcPr>
            <w:tcW w:w="1886" w:type="dxa"/>
            <w:gridSpan w:val="2"/>
            <w:noWrap/>
          </w:tcPr>
          <w:p w14:paraId="3EA0F67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01B172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B817413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9358CDA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669537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Huntington's disease</w:t>
            </w:r>
          </w:p>
        </w:tc>
        <w:tc>
          <w:tcPr>
            <w:tcW w:w="1886" w:type="dxa"/>
            <w:gridSpan w:val="2"/>
            <w:noWrap/>
          </w:tcPr>
          <w:p w14:paraId="21B41F5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162383B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503B8A15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04EE04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CFE186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Ichthyosis </w:t>
            </w:r>
          </w:p>
        </w:tc>
        <w:tc>
          <w:tcPr>
            <w:tcW w:w="1886" w:type="dxa"/>
            <w:gridSpan w:val="2"/>
            <w:noWrap/>
          </w:tcPr>
          <w:p w14:paraId="4AFBB5E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average of subtypes</w:t>
            </w:r>
          </w:p>
        </w:tc>
        <w:tc>
          <w:tcPr>
            <w:tcW w:w="3602" w:type="dxa"/>
            <w:gridSpan w:val="2"/>
          </w:tcPr>
          <w:p w14:paraId="357E7AD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58C3B6D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72D2AC3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ACE3A3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Idiopathic Hypogonadotropic Hypogonadism</w:t>
            </w:r>
          </w:p>
        </w:tc>
        <w:tc>
          <w:tcPr>
            <w:tcW w:w="1886" w:type="dxa"/>
            <w:gridSpan w:val="2"/>
            <w:noWrap/>
          </w:tcPr>
          <w:p w14:paraId="149CB68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1/4000-1/10,000 in males, and 2 to 5 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times less frequent in females</w:t>
            </w:r>
          </w:p>
        </w:tc>
        <w:tc>
          <w:tcPr>
            <w:tcW w:w="3602" w:type="dxa"/>
            <w:gridSpan w:val="2"/>
          </w:tcPr>
          <w:p w14:paraId="5B137C1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 xml:space="preserve">Silveira, L. G., &amp;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Latronico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A. C. (2013). Approach to the Patient 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w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ith 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Hypogonadotropic Hypogonadism. The Journal of Clinical Endocrinology &amp; Metabolism, 98(5), 1781-1788.</w:t>
            </w:r>
          </w:p>
        </w:tc>
      </w:tr>
      <w:tr w:rsidR="00A966FE" w:rsidRPr="00A966FE" w14:paraId="6BA5F74B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FD0797F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BD1E01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Immunologic thrombocytopenic purpura</w:t>
            </w:r>
          </w:p>
        </w:tc>
        <w:tc>
          <w:tcPr>
            <w:tcW w:w="1886" w:type="dxa"/>
            <w:gridSpan w:val="2"/>
            <w:noWrap/>
          </w:tcPr>
          <w:p w14:paraId="7D8FB6B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5/100,000</w:t>
            </w:r>
          </w:p>
        </w:tc>
        <w:tc>
          <w:tcPr>
            <w:tcW w:w="3602" w:type="dxa"/>
            <w:gridSpan w:val="2"/>
          </w:tcPr>
          <w:p w14:paraId="0D615FD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Fogarty, P. F., &amp; Segal, J. B. (2007). The epidemiology of immune thrombocytopenic purpura. Current opinion in hematology, 14(5), 515-519.</w:t>
            </w:r>
          </w:p>
        </w:tc>
      </w:tr>
      <w:tr w:rsidR="00A966FE" w:rsidRPr="00A966FE" w14:paraId="08944E4D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90CE9B0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F6DDF1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Kallmann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Syndrome,KS</w:t>
            </w:r>
            <w:proofErr w:type="spellEnd"/>
          </w:p>
        </w:tc>
        <w:tc>
          <w:tcPr>
            <w:tcW w:w="1886" w:type="dxa"/>
            <w:gridSpan w:val="2"/>
            <w:noWrap/>
          </w:tcPr>
          <w:p w14:paraId="1513C97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332409A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3C13EA5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C8C9DA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98862D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Mucolipidosis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type IV</w:t>
            </w:r>
          </w:p>
        </w:tc>
        <w:tc>
          <w:tcPr>
            <w:tcW w:w="1886" w:type="dxa"/>
            <w:gridSpan w:val="2"/>
            <w:noWrap/>
          </w:tcPr>
          <w:p w14:paraId="00457A4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1/40 000 births</w:t>
            </w:r>
          </w:p>
        </w:tc>
        <w:tc>
          <w:tcPr>
            <w:tcW w:w="3602" w:type="dxa"/>
            <w:gridSpan w:val="2"/>
          </w:tcPr>
          <w:p w14:paraId="0471908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9F414CC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78CEE0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493A0D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Mucopolysaccharidosis</w:t>
            </w:r>
          </w:p>
        </w:tc>
        <w:tc>
          <w:tcPr>
            <w:tcW w:w="1886" w:type="dxa"/>
            <w:gridSpan w:val="2"/>
            <w:noWrap/>
          </w:tcPr>
          <w:p w14:paraId="5E8F810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255A05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CED74AD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3CEB9FD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CC1FD9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Multiple Sclerosis</w:t>
            </w:r>
          </w:p>
        </w:tc>
        <w:tc>
          <w:tcPr>
            <w:tcW w:w="1886" w:type="dxa"/>
            <w:gridSpan w:val="2"/>
            <w:noWrap/>
          </w:tcPr>
          <w:p w14:paraId="792B870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1-2/100,000</w:t>
            </w:r>
          </w:p>
        </w:tc>
        <w:tc>
          <w:tcPr>
            <w:tcW w:w="3602" w:type="dxa"/>
            <w:gridSpan w:val="2"/>
          </w:tcPr>
          <w:p w14:paraId="15E77E8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Cheng, Q, Cheng, X-J, &amp; Jiang, G-X. (2009). Multiple sclerosis in China—history and future. Multiple Sclerosis, 15(6), 655-660.</w:t>
            </w:r>
          </w:p>
        </w:tc>
      </w:tr>
      <w:tr w:rsidR="00A966FE" w:rsidRPr="00A966FE" w14:paraId="3DEC1E25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CA2122C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0A00F9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Myasthenia Gravis</w:t>
            </w:r>
          </w:p>
        </w:tc>
        <w:tc>
          <w:tcPr>
            <w:tcW w:w="1886" w:type="dxa"/>
            <w:gridSpan w:val="2"/>
            <w:noWrap/>
          </w:tcPr>
          <w:p w14:paraId="37837D4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A691F8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35F9369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64D349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AE6E20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Myelodysplastic syndromes</w:t>
            </w:r>
          </w:p>
        </w:tc>
        <w:tc>
          <w:tcPr>
            <w:tcW w:w="1886" w:type="dxa"/>
            <w:gridSpan w:val="2"/>
            <w:noWrap/>
          </w:tcPr>
          <w:p w14:paraId="06797B8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7D8506B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6375209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4A729F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C00D3B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Neuromyelitis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optica</w:t>
            </w:r>
            <w:proofErr w:type="spellEnd"/>
          </w:p>
        </w:tc>
        <w:tc>
          <w:tcPr>
            <w:tcW w:w="1886" w:type="dxa"/>
            <w:gridSpan w:val="2"/>
            <w:noWrap/>
          </w:tcPr>
          <w:p w14:paraId="16C6490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FEB701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5387EB6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352E188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DA31C6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Noonan syndrome</w:t>
            </w:r>
          </w:p>
        </w:tc>
        <w:tc>
          <w:tcPr>
            <w:tcW w:w="1886" w:type="dxa"/>
            <w:gridSpan w:val="2"/>
            <w:noWrap/>
          </w:tcPr>
          <w:p w14:paraId="7586BC1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1/1,000-1/2500 live births</w:t>
            </w:r>
          </w:p>
        </w:tc>
        <w:tc>
          <w:tcPr>
            <w:tcW w:w="3602" w:type="dxa"/>
            <w:gridSpan w:val="2"/>
          </w:tcPr>
          <w:p w14:paraId="4CEAC29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CA59F76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361F41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FDF013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Ornithine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transcarbamylase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deficiency</w:t>
            </w:r>
          </w:p>
        </w:tc>
        <w:tc>
          <w:tcPr>
            <w:tcW w:w="1886" w:type="dxa"/>
            <w:gridSpan w:val="2"/>
            <w:noWrap/>
          </w:tcPr>
          <w:p w14:paraId="493F289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170457B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5020B29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8E32A2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DD46A5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Prader-Willi syndrome</w:t>
            </w:r>
          </w:p>
        </w:tc>
        <w:tc>
          <w:tcPr>
            <w:tcW w:w="1886" w:type="dxa"/>
            <w:gridSpan w:val="2"/>
            <w:noWrap/>
          </w:tcPr>
          <w:p w14:paraId="39014FF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0265C34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5375FD31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A72E17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4414EB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Pseudoachondroplasia</w:t>
            </w:r>
            <w:proofErr w:type="spellEnd"/>
          </w:p>
        </w:tc>
        <w:tc>
          <w:tcPr>
            <w:tcW w:w="1886" w:type="dxa"/>
            <w:gridSpan w:val="2"/>
            <w:noWrap/>
          </w:tcPr>
          <w:p w14:paraId="0876190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35A9F05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2CC0E56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07F147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64221D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Pseudomyxoma peritonei</w:t>
            </w:r>
          </w:p>
        </w:tc>
        <w:tc>
          <w:tcPr>
            <w:tcW w:w="1886" w:type="dxa"/>
            <w:gridSpan w:val="2"/>
            <w:noWrap/>
          </w:tcPr>
          <w:p w14:paraId="4219A09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6C33302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0B60B94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94EA09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873357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Pulmonary hypertension</w:t>
            </w:r>
          </w:p>
        </w:tc>
        <w:tc>
          <w:tcPr>
            <w:tcW w:w="1886" w:type="dxa"/>
            <w:gridSpan w:val="2"/>
            <w:noWrap/>
          </w:tcPr>
          <w:p w14:paraId="46D7160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447612A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8C82E3D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2E6D2C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C30137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Retinoblastoma,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Rb</w:t>
            </w:r>
            <w:proofErr w:type="spellEnd"/>
          </w:p>
        </w:tc>
        <w:tc>
          <w:tcPr>
            <w:tcW w:w="1886" w:type="dxa"/>
            <w:gridSpan w:val="2"/>
            <w:noWrap/>
          </w:tcPr>
          <w:p w14:paraId="6B67FAB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1/20,000~1/15,000</w:t>
            </w:r>
          </w:p>
        </w:tc>
        <w:tc>
          <w:tcPr>
            <w:tcW w:w="3602" w:type="dxa"/>
            <w:gridSpan w:val="2"/>
          </w:tcPr>
          <w:p w14:paraId="0F09748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B617985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2A2DA2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C9753D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Sclerosis</w:t>
            </w:r>
          </w:p>
        </w:tc>
        <w:tc>
          <w:tcPr>
            <w:tcW w:w="1886" w:type="dxa"/>
            <w:gridSpan w:val="2"/>
            <w:noWrap/>
          </w:tcPr>
          <w:p w14:paraId="44786B3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5/100,000</w:t>
            </w:r>
          </w:p>
        </w:tc>
        <w:tc>
          <w:tcPr>
            <w:tcW w:w="3602" w:type="dxa"/>
            <w:gridSpan w:val="2"/>
          </w:tcPr>
          <w:p w14:paraId="5AB636C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Tullman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M. (2013). Overview of the epidemiology, diagnosis, and disease progression associated with multiple sclerosis. The American Journal of Managed Care, 19(2 Suppl), S15-S20.</w:t>
            </w:r>
          </w:p>
        </w:tc>
      </w:tr>
      <w:tr w:rsidR="00A966FE" w:rsidRPr="00A966FE" w14:paraId="0A75C6AA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57FA063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C38AAD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Spinal cord tumor</w:t>
            </w:r>
          </w:p>
        </w:tc>
        <w:tc>
          <w:tcPr>
            <w:tcW w:w="1886" w:type="dxa"/>
            <w:gridSpan w:val="2"/>
            <w:noWrap/>
          </w:tcPr>
          <w:p w14:paraId="74FFC34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0.7-3.6/100 000</w:t>
            </w:r>
          </w:p>
        </w:tc>
        <w:tc>
          <w:tcPr>
            <w:tcW w:w="3602" w:type="dxa"/>
            <w:gridSpan w:val="2"/>
          </w:tcPr>
          <w:p w14:paraId="12F2DF8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Newton, H. B. (2016). Handbook of Neuro-Oncology Neuroimaging: Second Edition. Elsevier: 35-39.</w:t>
            </w:r>
          </w:p>
        </w:tc>
      </w:tr>
      <w:tr w:rsidR="00A966FE" w:rsidRPr="00A966FE" w14:paraId="52D2BAA6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35316F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5A4C5D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Spinal muscular atrophy</w:t>
            </w:r>
          </w:p>
        </w:tc>
        <w:tc>
          <w:tcPr>
            <w:tcW w:w="1886" w:type="dxa"/>
            <w:gridSpan w:val="2"/>
            <w:noWrap/>
          </w:tcPr>
          <w:p w14:paraId="1D46A73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3A89C83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E8499BE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94F55E2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39EA84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Spinocerebellar ataxias</w:t>
            </w:r>
          </w:p>
        </w:tc>
        <w:tc>
          <w:tcPr>
            <w:tcW w:w="1886" w:type="dxa"/>
            <w:gridSpan w:val="2"/>
            <w:noWrap/>
          </w:tcPr>
          <w:p w14:paraId="28AB6CB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53765AC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51626C5E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00B02FD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17E6C3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Systemic Vasculitis</w:t>
            </w:r>
          </w:p>
        </w:tc>
        <w:tc>
          <w:tcPr>
            <w:tcW w:w="1886" w:type="dxa"/>
            <w:gridSpan w:val="2"/>
            <w:noWrap/>
          </w:tcPr>
          <w:p w14:paraId="6A0A5EA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1-2/100 000</w:t>
            </w:r>
          </w:p>
        </w:tc>
        <w:tc>
          <w:tcPr>
            <w:tcW w:w="3602" w:type="dxa"/>
            <w:gridSpan w:val="2"/>
          </w:tcPr>
          <w:p w14:paraId="2ADF3E3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Lane, S., Watts, E., &amp; Scott, R. (2005). Epidemiology of systemic vasculitis. Current Rheumatology Reports, 7(4), 270-275.</w:t>
            </w:r>
          </w:p>
        </w:tc>
      </w:tr>
      <w:tr w:rsidR="00A966FE" w:rsidRPr="00A966FE" w14:paraId="10A5CA2C" w14:textId="77777777" w:rsidTr="00C75677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7E42851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6EB80E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Takayasu arteritis</w:t>
            </w:r>
          </w:p>
        </w:tc>
        <w:tc>
          <w:tcPr>
            <w:tcW w:w="1886" w:type="dxa"/>
            <w:gridSpan w:val="2"/>
            <w:noWrap/>
          </w:tcPr>
          <w:p w14:paraId="63BD9AE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1-9 / 100,000</w:t>
            </w:r>
          </w:p>
        </w:tc>
        <w:tc>
          <w:tcPr>
            <w:tcW w:w="3602" w:type="dxa"/>
            <w:gridSpan w:val="2"/>
          </w:tcPr>
          <w:p w14:paraId="7BEB659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DB666B" w:rsidRPr="00A966FE" w14:paraId="7C56DC1F" w14:textId="77777777" w:rsidTr="00E35FA6">
        <w:trPr>
          <w:trHeight w:val="20"/>
        </w:trPr>
        <w:tc>
          <w:tcPr>
            <w:tcW w:w="9125" w:type="dxa"/>
            <w:gridSpan w:val="7"/>
            <w:shd w:val="clear" w:color="auto" w:fill="D9D9D9" w:themeFill="background1" w:themeFillShade="D9"/>
            <w:noWrap/>
          </w:tcPr>
          <w:p w14:paraId="4349ABF6" w14:textId="77777777" w:rsidR="00DB666B" w:rsidRPr="00A966FE" w:rsidRDefault="006B6F04" w:rsidP="006B6F04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  <w:r w:rsidRPr="00A966FE">
              <w:rPr>
                <w:rFonts w:ascii="Times New Roman" w:eastAsia="Times New Roman" w:hAnsi="Times New Roman" w:cs="Times New Roman"/>
                <w:szCs w:val="21"/>
              </w:rPr>
              <w:t>Rarity - Mild</w:t>
            </w:r>
            <w:r w:rsidR="00DB666B" w:rsidRPr="00A966FE">
              <w:rPr>
                <w:rFonts w:ascii="Times New Roman" w:eastAsia="Times New Roman" w:hAnsi="Times New Roman" w:cs="Times New Roman"/>
                <w:szCs w:val="21"/>
              </w:rPr>
              <w:t xml:space="preserve"> (Prevalence &gt;1/10,000)</w:t>
            </w:r>
          </w:p>
        </w:tc>
      </w:tr>
      <w:tr w:rsidR="00A966FE" w:rsidRPr="00A966FE" w14:paraId="26F025E2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B4796B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746D8AE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Charcot-Marie-Tooth disease</w:t>
            </w:r>
          </w:p>
        </w:tc>
        <w:tc>
          <w:tcPr>
            <w:tcW w:w="1886" w:type="dxa"/>
            <w:gridSpan w:val="2"/>
            <w:noWrap/>
          </w:tcPr>
          <w:p w14:paraId="2977728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6671630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D42D2DC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5EA26F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2E6BA9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Fuchs' syndrome</w:t>
            </w:r>
          </w:p>
        </w:tc>
        <w:tc>
          <w:tcPr>
            <w:tcW w:w="1886" w:type="dxa"/>
            <w:gridSpan w:val="2"/>
          </w:tcPr>
          <w:p w14:paraId="4890DDF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3.7–9.2% in patients over 50 years of age</w:t>
            </w:r>
          </w:p>
        </w:tc>
        <w:tc>
          <w:tcPr>
            <w:tcW w:w="3602" w:type="dxa"/>
            <w:gridSpan w:val="2"/>
          </w:tcPr>
          <w:p w14:paraId="789F2B0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Pilger, Daniel,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Brockmann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Claudia, Maier, Anna-Karina B., &amp;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Bertelmann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Eckart. (2019). Predictive Factors for Clinical Outcomes after Primary Descemet's Membrane Endothelial Keratoplasty for Fuchs' Endothelial Dystrophy. Current Eye Research, 44(2), 147-153.</w:t>
            </w:r>
          </w:p>
        </w:tc>
      </w:tr>
      <w:tr w:rsidR="00A966FE" w:rsidRPr="00A966FE" w14:paraId="7C2C7D5B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7A00CA0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21133A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Hereditary hemorrhagic telangiectasia</w:t>
            </w:r>
          </w:p>
        </w:tc>
        <w:tc>
          <w:tcPr>
            <w:tcW w:w="1886" w:type="dxa"/>
            <w:gridSpan w:val="2"/>
            <w:noWrap/>
          </w:tcPr>
          <w:p w14:paraId="58F6C21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0D7FD57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2AF969DD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1D2116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2F38F1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hyperammonemia</w:t>
            </w:r>
          </w:p>
        </w:tc>
        <w:tc>
          <w:tcPr>
            <w:tcW w:w="1886" w:type="dxa"/>
            <w:gridSpan w:val="2"/>
            <w:noWrap/>
          </w:tcPr>
          <w:p w14:paraId="54C52EE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2BA66EE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79F77E15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D5F03E0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12471E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Hypopituitarism</w:t>
            </w:r>
          </w:p>
        </w:tc>
        <w:tc>
          <w:tcPr>
            <w:tcW w:w="1886" w:type="dxa"/>
            <w:gridSpan w:val="2"/>
            <w:noWrap/>
          </w:tcPr>
          <w:p w14:paraId="6E31A5D8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4.5/1,0000</w:t>
            </w:r>
          </w:p>
        </w:tc>
        <w:tc>
          <w:tcPr>
            <w:tcW w:w="3602" w:type="dxa"/>
            <w:gridSpan w:val="2"/>
          </w:tcPr>
          <w:p w14:paraId="01B438E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Aimaretti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G,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Kreitschmann-Andermahr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I,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Stalla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GK, Ghigo E </w:t>
            </w:r>
            <w:proofErr w:type="gram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( 2007</w:t>
            </w:r>
            <w:proofErr w:type="gram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). Hypopituitarism. Lancet. 369 (9571): 1461–70.</w:t>
            </w:r>
          </w:p>
        </w:tc>
      </w:tr>
      <w:tr w:rsidR="00A966FE" w:rsidRPr="00A966FE" w14:paraId="709D6209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6ACE41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1B8207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Isolated spina bifida </w:t>
            </w:r>
          </w:p>
        </w:tc>
        <w:tc>
          <w:tcPr>
            <w:tcW w:w="1886" w:type="dxa"/>
            <w:gridSpan w:val="2"/>
            <w:noWrap/>
          </w:tcPr>
          <w:p w14:paraId="1FC1B58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10 000</w:t>
            </w:r>
          </w:p>
        </w:tc>
        <w:tc>
          <w:tcPr>
            <w:tcW w:w="3602" w:type="dxa"/>
            <w:gridSpan w:val="2"/>
          </w:tcPr>
          <w:p w14:paraId="655E603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11C78A6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60C6E77B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9AB4F6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Keratoconus</w:t>
            </w:r>
          </w:p>
        </w:tc>
        <w:tc>
          <w:tcPr>
            <w:tcW w:w="1886" w:type="dxa"/>
            <w:gridSpan w:val="2"/>
            <w:noWrap/>
          </w:tcPr>
          <w:p w14:paraId="4C11BD3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5.4/1,0000</w:t>
            </w:r>
          </w:p>
        </w:tc>
        <w:tc>
          <w:tcPr>
            <w:tcW w:w="3602" w:type="dxa"/>
            <w:gridSpan w:val="2"/>
          </w:tcPr>
          <w:p w14:paraId="5F95CE6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Gokhale N. S. (2013). Epidemiology of keratoconus. Indian journal of ophthalmology, 61(8), 382–383. doi:10.4103/0301-4738.116054</w:t>
            </w:r>
          </w:p>
        </w:tc>
      </w:tr>
      <w:tr w:rsidR="00A966FE" w:rsidRPr="00A966FE" w14:paraId="40C3287E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C4D3E5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A5E494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Klinefelter syndrome</w:t>
            </w:r>
          </w:p>
        </w:tc>
        <w:tc>
          <w:tcPr>
            <w:tcW w:w="1886" w:type="dxa"/>
            <w:gridSpan w:val="2"/>
            <w:noWrap/>
          </w:tcPr>
          <w:p w14:paraId="5E2D29C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1/1,000</w:t>
            </w:r>
          </w:p>
        </w:tc>
        <w:tc>
          <w:tcPr>
            <w:tcW w:w="3602" w:type="dxa"/>
            <w:gridSpan w:val="2"/>
          </w:tcPr>
          <w:p w14:paraId="05A908C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Wattendorf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DJ,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Muenke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M. 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（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2005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）</w:t>
            </w: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Klinefelter </w:t>
            </w:r>
            <w:proofErr w:type="spellStart"/>
            <w:proofErr w:type="gram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syndrome.Am</w:t>
            </w:r>
            <w:proofErr w:type="spellEnd"/>
            <w:proofErr w:type="gram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Fam Physician. 72(11):2259-62.</w:t>
            </w:r>
          </w:p>
        </w:tc>
      </w:tr>
      <w:tr w:rsidR="00A966FE" w:rsidRPr="00A966FE" w14:paraId="7E518B3B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9F52DF6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DF0F51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Marfan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Syndrome</w:t>
            </w:r>
          </w:p>
        </w:tc>
        <w:tc>
          <w:tcPr>
            <w:tcW w:w="1886" w:type="dxa"/>
            <w:gridSpan w:val="2"/>
            <w:noWrap/>
          </w:tcPr>
          <w:p w14:paraId="4FF701B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520AAB1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5AF0B26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9575165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45DA460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Mitochondrial disorders</w:t>
            </w:r>
          </w:p>
        </w:tc>
        <w:tc>
          <w:tcPr>
            <w:tcW w:w="1886" w:type="dxa"/>
            <w:gridSpan w:val="2"/>
            <w:noWrap/>
          </w:tcPr>
          <w:p w14:paraId="61BCD56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at least 1/5000</w:t>
            </w:r>
          </w:p>
        </w:tc>
        <w:tc>
          <w:tcPr>
            <w:tcW w:w="3602" w:type="dxa"/>
            <w:gridSpan w:val="2"/>
          </w:tcPr>
          <w:p w14:paraId="2452C07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Schaefer, A., Taylor, R., Turnbull, D., &amp; Chinnery, P. (2004). The epidemiology of mitochondrial disorders—past, present and future. BBA - Bioenergetics, 1659(2-3), 115-120.</w:t>
            </w:r>
          </w:p>
        </w:tc>
      </w:tr>
      <w:tr w:rsidR="00A966FE" w:rsidRPr="00A966FE" w14:paraId="31B866C9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74B69D2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327A64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Neurofibromatosis</w:t>
            </w:r>
          </w:p>
        </w:tc>
        <w:tc>
          <w:tcPr>
            <w:tcW w:w="1886" w:type="dxa"/>
            <w:gridSpan w:val="2"/>
            <w:noWrap/>
          </w:tcPr>
          <w:p w14:paraId="43220D5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0C65A00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C1A2704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A4C02B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111DEB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Noncompaction of the ventricular myocardium</w:t>
            </w:r>
          </w:p>
        </w:tc>
        <w:tc>
          <w:tcPr>
            <w:tcW w:w="1886" w:type="dxa"/>
            <w:gridSpan w:val="2"/>
            <w:noWrap/>
          </w:tcPr>
          <w:p w14:paraId="45999B9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1.4/1,0000</w:t>
            </w:r>
          </w:p>
        </w:tc>
        <w:tc>
          <w:tcPr>
            <w:tcW w:w="3602" w:type="dxa"/>
            <w:gridSpan w:val="2"/>
          </w:tcPr>
          <w:p w14:paraId="30F402B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Vizzardi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, E., </w:t>
            </w: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Nodari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, S., Metra, M., &amp; Dei Cas, L. (2006). Non-compaction of the ventricular myocardium. Heart international, 2(3-4), 178. doi:10.4081/hi.2006.178</w:t>
            </w:r>
          </w:p>
        </w:tc>
      </w:tr>
      <w:tr w:rsidR="00A966FE" w:rsidRPr="00A966FE" w14:paraId="118B5FF4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2577ED3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1A92B3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Osteogenesis imperfecta</w:t>
            </w:r>
          </w:p>
        </w:tc>
        <w:tc>
          <w:tcPr>
            <w:tcW w:w="1886" w:type="dxa"/>
            <w:gridSpan w:val="2"/>
            <w:noWrap/>
          </w:tcPr>
          <w:p w14:paraId="31EC7AA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582B55E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2CC0AFA0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2AECCFBC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9EA2CB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Pemphigus vulgaris</w:t>
            </w:r>
          </w:p>
        </w:tc>
        <w:tc>
          <w:tcPr>
            <w:tcW w:w="1886" w:type="dxa"/>
            <w:gridSpan w:val="2"/>
            <w:noWrap/>
          </w:tcPr>
          <w:p w14:paraId="07C19AD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295E9682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687C38FF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771E620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63A32BF0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Primary adrenal insufficiency/Addison's disease</w:t>
            </w:r>
          </w:p>
        </w:tc>
        <w:tc>
          <w:tcPr>
            <w:tcW w:w="1886" w:type="dxa"/>
            <w:gridSpan w:val="2"/>
            <w:noWrap/>
          </w:tcPr>
          <w:p w14:paraId="05D9730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021E890C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4188F64D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00A36BDB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86D532E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Retinitis Pigmentosa, RP</w:t>
            </w:r>
          </w:p>
        </w:tc>
        <w:tc>
          <w:tcPr>
            <w:tcW w:w="1886" w:type="dxa"/>
            <w:gridSpan w:val="2"/>
            <w:noWrap/>
          </w:tcPr>
          <w:p w14:paraId="351CBC0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2A66B70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17045D2F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E5DCD3D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2F97767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Stargardt</w:t>
            </w:r>
            <w:proofErr w:type="spellEnd"/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 disease</w:t>
            </w:r>
          </w:p>
        </w:tc>
        <w:tc>
          <w:tcPr>
            <w:tcW w:w="1886" w:type="dxa"/>
            <w:gridSpan w:val="2"/>
            <w:noWrap/>
          </w:tcPr>
          <w:p w14:paraId="60A8ED9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4BAF16A4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5D2A52D7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D77921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0F2D4BA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Systemic lupus erythematosus</w:t>
            </w:r>
          </w:p>
        </w:tc>
        <w:tc>
          <w:tcPr>
            <w:tcW w:w="1886" w:type="dxa"/>
            <w:gridSpan w:val="2"/>
            <w:noWrap/>
          </w:tcPr>
          <w:p w14:paraId="57BC662A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71A835F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2BD5DB8F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3BB8D859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D50AACB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Systemic sclerosis</w:t>
            </w:r>
          </w:p>
        </w:tc>
        <w:tc>
          <w:tcPr>
            <w:tcW w:w="1886" w:type="dxa"/>
            <w:gridSpan w:val="2"/>
            <w:noWrap/>
          </w:tcPr>
          <w:p w14:paraId="5AB50D2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6EC58D9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3249EA64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4654C09C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C6DFB5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Tuberous sclerosis complex</w:t>
            </w:r>
          </w:p>
        </w:tc>
        <w:tc>
          <w:tcPr>
            <w:tcW w:w="1886" w:type="dxa"/>
            <w:gridSpan w:val="2"/>
            <w:noWrap/>
          </w:tcPr>
          <w:p w14:paraId="624FE3D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2DE48187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3B1CB896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8B1C9B4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3793F441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Turner syndrome</w:t>
            </w:r>
          </w:p>
        </w:tc>
        <w:tc>
          <w:tcPr>
            <w:tcW w:w="1886" w:type="dxa"/>
            <w:gridSpan w:val="2"/>
            <w:noWrap/>
          </w:tcPr>
          <w:p w14:paraId="420E30B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3570954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9B241EC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57E237DE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1C8636A3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Uveitis</w:t>
            </w:r>
          </w:p>
        </w:tc>
        <w:tc>
          <w:tcPr>
            <w:tcW w:w="1886" w:type="dxa"/>
            <w:gridSpan w:val="2"/>
            <w:noWrap/>
          </w:tcPr>
          <w:p w14:paraId="63EACFC6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4231C07D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  <w:tr w:rsidR="00A966FE" w:rsidRPr="00A966FE" w14:paraId="08807366" w14:textId="77777777" w:rsidTr="00A966FE">
        <w:trPr>
          <w:gridAfter w:val="1"/>
          <w:wAfter w:w="8" w:type="dxa"/>
          <w:trHeight w:val="20"/>
        </w:trPr>
        <w:tc>
          <w:tcPr>
            <w:tcW w:w="436" w:type="dxa"/>
            <w:noWrap/>
          </w:tcPr>
          <w:p w14:paraId="1697AB4A" w14:textId="77777777" w:rsidR="00A966FE" w:rsidRPr="00A966FE" w:rsidRDefault="00A966FE" w:rsidP="00A966FE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93" w:type="dxa"/>
            <w:noWrap/>
          </w:tcPr>
          <w:p w14:paraId="53930455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Charcot-Marie-Tooth disease</w:t>
            </w:r>
          </w:p>
        </w:tc>
        <w:tc>
          <w:tcPr>
            <w:tcW w:w="1886" w:type="dxa"/>
            <w:gridSpan w:val="2"/>
            <w:noWrap/>
          </w:tcPr>
          <w:p w14:paraId="4A1A1189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1-5 / 10,000</w:t>
            </w:r>
          </w:p>
        </w:tc>
        <w:tc>
          <w:tcPr>
            <w:tcW w:w="3602" w:type="dxa"/>
            <w:gridSpan w:val="2"/>
          </w:tcPr>
          <w:p w14:paraId="651F9ABF" w14:textId="77777777" w:rsidR="00A966FE" w:rsidRPr="00A966FE" w:rsidRDefault="00A966FE" w:rsidP="00A966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A966F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orpha.net</w:t>
            </w:r>
          </w:p>
        </w:tc>
      </w:tr>
    </w:tbl>
    <w:p w14:paraId="42D7B3A5" w14:textId="77777777" w:rsidR="00DB666B" w:rsidRPr="00CE2E53" w:rsidRDefault="00DB666B" w:rsidP="00DB666B">
      <w:pPr>
        <w:spacing w:line="360" w:lineRule="auto"/>
        <w:rPr>
          <w:sz w:val="20"/>
        </w:rPr>
      </w:pPr>
    </w:p>
    <w:p w14:paraId="6813A57E" w14:textId="77777777" w:rsidR="00DB666B" w:rsidRPr="00CE2E53" w:rsidRDefault="00DB666B" w:rsidP="00DB666B"/>
    <w:p w14:paraId="54C0C9D5" w14:textId="77777777" w:rsidR="00DB666B" w:rsidRPr="00CE2E53" w:rsidRDefault="00DB666B" w:rsidP="00DB666B"/>
    <w:p w14:paraId="030BE246" w14:textId="77777777" w:rsidR="0018283E" w:rsidRDefault="0018283E"/>
    <w:sectPr w:rsidR="00182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92B22" w14:textId="77777777" w:rsidR="00001165" w:rsidRDefault="00001165" w:rsidP="000C6541">
      <w:r>
        <w:separator/>
      </w:r>
    </w:p>
  </w:endnote>
  <w:endnote w:type="continuationSeparator" w:id="0">
    <w:p w14:paraId="375EB33E" w14:textId="77777777" w:rsidR="00001165" w:rsidRDefault="00001165" w:rsidP="000C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ABB9C" w14:textId="77777777" w:rsidR="00001165" w:rsidRDefault="00001165" w:rsidP="000C6541">
      <w:r>
        <w:separator/>
      </w:r>
    </w:p>
  </w:footnote>
  <w:footnote w:type="continuationSeparator" w:id="0">
    <w:p w14:paraId="05171C55" w14:textId="77777777" w:rsidR="00001165" w:rsidRDefault="00001165" w:rsidP="000C6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096577"/>
    <w:multiLevelType w:val="hybridMultilevel"/>
    <w:tmpl w:val="DF8692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66B"/>
    <w:rsid w:val="00001165"/>
    <w:rsid w:val="000C6541"/>
    <w:rsid w:val="0018283E"/>
    <w:rsid w:val="006B6F04"/>
    <w:rsid w:val="007325B2"/>
    <w:rsid w:val="00762684"/>
    <w:rsid w:val="00A966FE"/>
    <w:rsid w:val="00AD3261"/>
    <w:rsid w:val="00DB666B"/>
    <w:rsid w:val="00DB7DF8"/>
    <w:rsid w:val="00E3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5714C2"/>
  <w15:chartTrackingRefBased/>
  <w15:docId w15:val="{9668F361-7A32-4AEE-A587-E302A61B6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66B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666B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2684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0C6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C654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6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C65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6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1247</Words>
  <Characters>6948</Characters>
  <Application>Microsoft Office Word</Application>
  <DocSecurity>0</DocSecurity>
  <Lines>210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Dong (SPHPC)</dc:creator>
  <cp:keywords/>
  <dc:description/>
  <cp:lastModifiedBy>D D</cp:lastModifiedBy>
  <cp:revision>2</cp:revision>
  <dcterms:created xsi:type="dcterms:W3CDTF">2019-11-15T17:55:00Z</dcterms:created>
  <dcterms:modified xsi:type="dcterms:W3CDTF">2019-11-15T17:55:00Z</dcterms:modified>
</cp:coreProperties>
</file>